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AF76AD">
        <w:t>3252</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r w:rsidR="00A120E1">
        <w:t>, Telstra</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262AB8">
        <w:t xml:space="preserve">New </w:t>
      </w:r>
      <w:proofErr w:type="spellStart"/>
      <w:proofErr w:type="gramStart"/>
      <w:r w:rsidR="00262AB8">
        <w:t>InH</w:t>
      </w:r>
      <w:proofErr w:type="spellEnd"/>
      <w:proofErr w:type="gramEnd"/>
      <w:r w:rsidR="00262AB8">
        <w:t xml:space="preserve"> measurements of </w:t>
      </w:r>
      <w:r w:rsidR="00E232CF">
        <w:t xml:space="preserve">the frequency dependence of </w:t>
      </w:r>
      <w:r w:rsidR="00262AB8">
        <w:t>delay spread</w:t>
      </w:r>
    </w:p>
    <w:p w:rsidR="00FE5799" w:rsidRPr="0003368D" w:rsidRDefault="00FE5799" w:rsidP="00FE5799">
      <w:pPr>
        <w:pStyle w:val="Header"/>
        <w:tabs>
          <w:tab w:val="left" w:pos="1800"/>
        </w:tabs>
      </w:pPr>
      <w:r w:rsidRPr="0003368D">
        <w:t>Agenda Item:</w:t>
      </w:r>
      <w:bookmarkStart w:id="1" w:name="Source"/>
      <w:bookmarkEnd w:id="1"/>
      <w:r w:rsidRPr="0003368D">
        <w:tab/>
      </w:r>
      <w:r w:rsidR="00262AB8">
        <w:t>8.2</w:t>
      </w:r>
      <w:r w:rsidR="00E232CF">
        <w:t>.2</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1639B5" w:rsidRPr="004A619D" w:rsidRDefault="005040AE" w:rsidP="00A55C73">
      <w:pPr>
        <w:pStyle w:val="BodyText"/>
      </w:pPr>
      <w:r>
        <w:t xml:space="preserve">The channel dispersion in terms of delay spread </w:t>
      </w:r>
      <w:r w:rsidR="00262AB8">
        <w:t xml:space="preserve">and its eventual frequency dependence </w:t>
      </w:r>
      <w:r>
        <w:t xml:space="preserve">is a key element of the new channel model being developed. The topic of frequency dependence is subject to some different views but </w:t>
      </w:r>
      <w:r w:rsidR="002019C1">
        <w:t xml:space="preserve">there is </w:t>
      </w:r>
      <w:r>
        <w:t xml:space="preserve">rather limited measurement availability. In this contribution we provide some additional measurement results to better understand how the channel varies over the frequency range considered in the present SI. </w:t>
      </w:r>
    </w:p>
    <w:p w:rsidR="00262AB8" w:rsidRDefault="00262AB8" w:rsidP="004A619D">
      <w:pPr>
        <w:pStyle w:val="Heading1"/>
      </w:pPr>
      <w:r>
        <w:t>Measurement setup</w:t>
      </w:r>
    </w:p>
    <w:p w:rsidR="00262AB8" w:rsidRDefault="00262AB8" w:rsidP="00262AB8">
      <w:pPr>
        <w:pStyle w:val="BodyText"/>
      </w:pPr>
      <w:r>
        <w:t xml:space="preserve">The measurements were performed in an indoor office consisting of both open and closed areas. The measurement locations are shown in </w:t>
      </w:r>
      <w:r>
        <w:fldChar w:fldCharType="begin"/>
      </w:r>
      <w:r>
        <w:instrText xml:space="preserve"> REF _Ref447149116 \h </w:instrText>
      </w:r>
      <w:r>
        <w:fldChar w:fldCharType="separate"/>
      </w:r>
      <w:r>
        <w:t xml:space="preserve">Figure </w:t>
      </w:r>
      <w:r>
        <w:rPr>
          <w:noProof/>
        </w:rPr>
        <w:t>1</w:t>
      </w:r>
      <w:r>
        <w:fldChar w:fldCharType="end"/>
      </w:r>
      <w:r>
        <w:t xml:space="preserve">. In each of the 15 locations measurements were performed at five different positions displaced by about 30 cm in a cross configuration. </w:t>
      </w:r>
      <w:r w:rsidR="007448CA">
        <w:t>Thus, in total 75 measurements were carried out</w:t>
      </w:r>
      <w:r w:rsidR="00840415">
        <w:t>.</w:t>
      </w:r>
      <w:r w:rsidR="007448CA">
        <w:t xml:space="preserve"> </w:t>
      </w:r>
      <w:r w:rsidR="007171DF">
        <w:t xml:space="preserve">All locations were in </w:t>
      </w:r>
      <w:proofErr w:type="spellStart"/>
      <w:r w:rsidR="007448CA">
        <w:t>non line</w:t>
      </w:r>
      <w:proofErr w:type="spellEnd"/>
      <w:r w:rsidR="007448CA">
        <w:t xml:space="preserve"> of sight (</w:t>
      </w:r>
      <w:r w:rsidR="007171DF">
        <w:t>NLOS</w:t>
      </w:r>
      <w:r w:rsidR="007448CA">
        <w:t>)</w:t>
      </w:r>
      <w:proofErr w:type="gramStart"/>
      <w:r w:rsidR="007448CA">
        <w:t>,</w:t>
      </w:r>
      <w:proofErr w:type="gramEnd"/>
      <w:r w:rsidR="007448CA">
        <w:t xml:space="preserve"> including position 1 where a partially metallic temporary screen was blocking the direct path</w:t>
      </w:r>
      <w:r w:rsidR="007171DF">
        <w:t xml:space="preserve">. </w:t>
      </w:r>
      <w:r>
        <w:t>A VNA network analyzer was employed to do 10 consecutive frequency sweeps with 1601 points over the measurement bandwidth. Four different frequencies were used: 2.4, 5.8, 14.8 and 58.7 GHz</w:t>
      </w:r>
      <w:r w:rsidR="007448CA">
        <w:t xml:space="preserve">, with </w:t>
      </w:r>
      <w:r>
        <w:t>corresponding bandwidths 80, 150, 150 and 150 MHz</w:t>
      </w:r>
      <w:r w:rsidR="007448CA">
        <w:t>, respectively</w:t>
      </w:r>
      <w:r>
        <w:t xml:space="preserve">. </w:t>
      </w:r>
      <w:r w:rsidR="006466DE">
        <w:t>Dipole a</w:t>
      </w:r>
      <w:r w:rsidR="00635F72">
        <w:t xml:space="preserve">ntennas with </w:t>
      </w:r>
      <w:proofErr w:type="spellStart"/>
      <w:r w:rsidR="00635F72">
        <w:t>omni</w:t>
      </w:r>
      <w:proofErr w:type="spellEnd"/>
      <w:r w:rsidR="00635F72">
        <w:t xml:space="preserve">-directional radiation patterns were used at both </w:t>
      </w:r>
      <w:proofErr w:type="spellStart"/>
      <w:proofErr w:type="gramStart"/>
      <w:r w:rsidR="00635F72">
        <w:t>Tx</w:t>
      </w:r>
      <w:proofErr w:type="spellEnd"/>
      <w:proofErr w:type="gramEnd"/>
      <w:r w:rsidR="00635F72">
        <w:t xml:space="preserve"> and Rx </w:t>
      </w:r>
      <w:r w:rsidR="007448CA">
        <w:t>for</w:t>
      </w:r>
      <w:r w:rsidR="00635F72">
        <w:t xml:space="preserve"> all frequencies. The measurements were mostly made during evening time when there was little or no movement in the area which could otherwise introduce non-stationary channel changes during a frequency sweep.</w:t>
      </w:r>
    </w:p>
    <w:p w:rsidR="00262AB8" w:rsidRDefault="00262AB8" w:rsidP="007448CA">
      <w:pPr>
        <w:pStyle w:val="BodyText"/>
        <w:jc w:val="center"/>
      </w:pPr>
      <w:r>
        <w:rPr>
          <w:noProof/>
        </w:rPr>
        <w:drawing>
          <wp:inline distT="0" distB="0" distL="0" distR="0" wp14:anchorId="4089FB55" wp14:editId="087BD049">
            <wp:extent cx="5454594" cy="307479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7597" cy="3076485"/>
                    </a:xfrm>
                    <a:prstGeom prst="rect">
                      <a:avLst/>
                    </a:prstGeom>
                    <a:noFill/>
                  </pic:spPr>
                </pic:pic>
              </a:graphicData>
            </a:graphic>
          </wp:inline>
        </w:drawing>
      </w:r>
    </w:p>
    <w:p w:rsidR="00262AB8" w:rsidRPr="00262AB8" w:rsidRDefault="00262AB8" w:rsidP="00262AB8">
      <w:pPr>
        <w:pStyle w:val="Caption"/>
      </w:pPr>
      <w:bookmarkStart w:id="3" w:name="_Ref447149116"/>
      <w:r>
        <w:t xml:space="preserve">Figure </w:t>
      </w:r>
      <w:r>
        <w:fldChar w:fldCharType="begin"/>
      </w:r>
      <w:r>
        <w:instrText xml:space="preserve"> SEQ Figure \* ARABIC </w:instrText>
      </w:r>
      <w:r>
        <w:fldChar w:fldCharType="separate"/>
      </w:r>
      <w:r w:rsidR="007171DF">
        <w:rPr>
          <w:noProof/>
        </w:rPr>
        <w:t>1</w:t>
      </w:r>
      <w:r>
        <w:fldChar w:fldCharType="end"/>
      </w:r>
      <w:bookmarkEnd w:id="3"/>
      <w:r>
        <w:t xml:space="preserve"> Map over the indoor measurements</w:t>
      </w:r>
      <w:r w:rsidR="007448CA">
        <w:t xml:space="preserve">. The receiver was in a smaller open area surrounded by corridors and office and conference rooms. Some of the measurements (11, 12, 13, </w:t>
      </w:r>
      <w:proofErr w:type="gramStart"/>
      <w:r w:rsidR="007448CA">
        <w:t>14</w:t>
      </w:r>
      <w:proofErr w:type="gramEnd"/>
      <w:r w:rsidR="007448CA">
        <w:t xml:space="preserve">) were in an open office area with desks and low partition walls. </w:t>
      </w:r>
    </w:p>
    <w:p w:rsidR="004A3F44" w:rsidRDefault="00262AB8" w:rsidP="004A619D">
      <w:pPr>
        <w:pStyle w:val="Heading1"/>
        <w:rPr>
          <w:lang w:val="en-GB"/>
        </w:rPr>
      </w:pPr>
      <w:proofErr w:type="spellStart"/>
      <w:r>
        <w:rPr>
          <w:lang w:val="en-GB"/>
        </w:rPr>
        <w:t>Postprocessing</w:t>
      </w:r>
      <w:proofErr w:type="spellEnd"/>
    </w:p>
    <w:p w:rsidR="00262AB8" w:rsidRDefault="00635F72" w:rsidP="00262AB8">
      <w:pPr>
        <w:pStyle w:val="BodyText"/>
        <w:rPr>
          <w:lang w:val="en-GB"/>
        </w:rPr>
      </w:pPr>
      <w:r>
        <w:rPr>
          <w:lang w:val="en-GB"/>
        </w:rPr>
        <w:t xml:space="preserve">Each frequency sweep was individually analysed and the noise floor determined. This was used to detect a few instances of non-stationary conditions and the corresponding frequency sweeps were removed from further analysis. The remaining sweeps in each location and local displacement were coherently averaged to improve the </w:t>
      </w:r>
      <w:r w:rsidR="007448CA">
        <w:rPr>
          <w:lang w:val="en-GB"/>
        </w:rPr>
        <w:t>signal to noise ratio (</w:t>
      </w:r>
      <w:r>
        <w:rPr>
          <w:lang w:val="en-GB"/>
        </w:rPr>
        <w:t>SNR</w:t>
      </w:r>
      <w:r w:rsidR="007448CA">
        <w:rPr>
          <w:lang w:val="en-GB"/>
        </w:rPr>
        <w:t>)</w:t>
      </w:r>
      <w:r>
        <w:rPr>
          <w:lang w:val="en-GB"/>
        </w:rPr>
        <w:t>. These sweeps were subsequently transformed into impulse re</w:t>
      </w:r>
      <w:r w:rsidR="00840415">
        <w:rPr>
          <w:lang w:val="en-GB"/>
        </w:rPr>
        <w:t>s</w:t>
      </w:r>
      <w:r>
        <w:rPr>
          <w:lang w:val="en-GB"/>
        </w:rPr>
        <w:t xml:space="preserve">ponses. The impact of </w:t>
      </w:r>
      <w:r>
        <w:rPr>
          <w:lang w:val="en-GB"/>
        </w:rPr>
        <w:lastRenderedPageBreak/>
        <w:t xml:space="preserve">the oxygen absorption </w:t>
      </w:r>
      <w:r w:rsidR="00A249FB">
        <w:rPr>
          <w:lang w:val="en-GB"/>
        </w:rPr>
        <w:t xml:space="preserve">naturally impacting the 58.7 GHz measurements </w:t>
      </w:r>
      <w:r>
        <w:rPr>
          <w:lang w:val="en-GB"/>
        </w:rPr>
        <w:t xml:space="preserve">was removed according to the agreed procedure in </w:t>
      </w:r>
      <w:r>
        <w:rPr>
          <w:lang w:val="en-GB"/>
        </w:rPr>
        <w:fldChar w:fldCharType="begin"/>
      </w:r>
      <w:r>
        <w:rPr>
          <w:lang w:val="en-GB"/>
        </w:rPr>
        <w:instrText xml:space="preserve"> REF _Ref447149981 \r \h </w:instrText>
      </w:r>
      <w:r>
        <w:rPr>
          <w:lang w:val="en-GB"/>
        </w:rPr>
      </w:r>
      <w:r>
        <w:rPr>
          <w:lang w:val="en-GB"/>
        </w:rPr>
        <w:fldChar w:fldCharType="separate"/>
      </w:r>
      <w:r>
        <w:rPr>
          <w:lang w:val="en-GB"/>
        </w:rPr>
        <w:t>[1]</w:t>
      </w:r>
      <w:r>
        <w:rPr>
          <w:lang w:val="en-GB"/>
        </w:rPr>
        <w:fldChar w:fldCharType="end"/>
      </w:r>
      <w:r>
        <w:rPr>
          <w:lang w:val="en-GB"/>
        </w:rPr>
        <w:t>.</w:t>
      </w:r>
    </w:p>
    <w:p w:rsidR="00635F72" w:rsidRDefault="00635F72" w:rsidP="00262AB8">
      <w:pPr>
        <w:pStyle w:val="BodyText"/>
        <w:rPr>
          <w:lang w:val="en-GB"/>
        </w:rPr>
      </w:pPr>
      <w:r>
        <w:rPr>
          <w:lang w:val="en-GB"/>
        </w:rPr>
        <w:t xml:space="preserve">The </w:t>
      </w:r>
      <w:proofErr w:type="spellStart"/>
      <w:r>
        <w:rPr>
          <w:lang w:val="en-GB"/>
        </w:rPr>
        <w:t>rms</w:t>
      </w:r>
      <w:proofErr w:type="spellEnd"/>
      <w:r>
        <w:rPr>
          <w:lang w:val="en-GB"/>
        </w:rPr>
        <w:t xml:space="preserve"> delay spread was calculated from each impulse response using a 20 dB </w:t>
      </w:r>
      <w:r w:rsidR="00A249FB">
        <w:rPr>
          <w:lang w:val="en-GB"/>
        </w:rPr>
        <w:t xml:space="preserve">below </w:t>
      </w:r>
      <w:r>
        <w:rPr>
          <w:lang w:val="en-GB"/>
        </w:rPr>
        <w:t xml:space="preserve">peak threshold. Furthermore, the impulse responses from the five locally displaced positions were power averaged to produce a power delay profile per location. The </w:t>
      </w:r>
      <w:r w:rsidR="00A249FB">
        <w:rPr>
          <w:lang w:val="en-GB"/>
        </w:rPr>
        <w:t>cumulative distribution functions (CDFs)</w:t>
      </w:r>
      <w:r>
        <w:rPr>
          <w:lang w:val="en-GB"/>
        </w:rPr>
        <w:t xml:space="preserve"> of the </w:t>
      </w:r>
      <w:proofErr w:type="spellStart"/>
      <w:r>
        <w:rPr>
          <w:lang w:val="en-GB"/>
        </w:rPr>
        <w:t>rms</w:t>
      </w:r>
      <w:proofErr w:type="spellEnd"/>
      <w:r>
        <w:rPr>
          <w:lang w:val="en-GB"/>
        </w:rPr>
        <w:t xml:space="preserve"> delay spread based on the </w:t>
      </w:r>
      <w:r w:rsidR="00A249FB">
        <w:rPr>
          <w:lang w:val="en-GB"/>
        </w:rPr>
        <w:t>75</w:t>
      </w:r>
      <w:r>
        <w:rPr>
          <w:lang w:val="en-GB"/>
        </w:rPr>
        <w:t xml:space="preserve"> positions is shown in </w:t>
      </w:r>
      <w:r w:rsidR="003608AA">
        <w:rPr>
          <w:lang w:val="en-GB"/>
        </w:rPr>
        <w:fldChar w:fldCharType="begin"/>
      </w:r>
      <w:r w:rsidR="003608AA">
        <w:rPr>
          <w:lang w:val="en-GB"/>
        </w:rPr>
        <w:instrText xml:space="preserve"> REF _Ref447150662 \h </w:instrText>
      </w:r>
      <w:r w:rsidR="003608AA">
        <w:rPr>
          <w:lang w:val="en-GB"/>
        </w:rPr>
      </w:r>
      <w:r w:rsidR="003608AA">
        <w:rPr>
          <w:lang w:val="en-GB"/>
        </w:rPr>
        <w:fldChar w:fldCharType="separate"/>
      </w:r>
      <w:r w:rsidR="003608AA">
        <w:t xml:space="preserve">Figure </w:t>
      </w:r>
      <w:r w:rsidR="003608AA">
        <w:rPr>
          <w:noProof/>
        </w:rPr>
        <w:t>2</w:t>
      </w:r>
      <w:r w:rsidR="003608AA">
        <w:rPr>
          <w:lang w:val="en-GB"/>
        </w:rPr>
        <w:fldChar w:fldCharType="end"/>
      </w:r>
      <w:r>
        <w:rPr>
          <w:lang w:val="en-GB"/>
        </w:rPr>
        <w:t xml:space="preserve">, while the </w:t>
      </w:r>
      <w:r w:rsidR="00A249FB">
        <w:rPr>
          <w:lang w:val="en-GB"/>
        </w:rPr>
        <w:t xml:space="preserve">average </w:t>
      </w:r>
      <w:r>
        <w:rPr>
          <w:lang w:val="en-GB"/>
        </w:rPr>
        <w:t>power delay profiles from the 15 locations are presented in the Appendix.</w:t>
      </w:r>
      <w:r w:rsidR="003608AA">
        <w:rPr>
          <w:lang w:val="en-GB"/>
        </w:rPr>
        <w:t xml:space="preserve"> The CDFs are further parameterized in </w:t>
      </w:r>
      <w:r w:rsidR="003608AA">
        <w:rPr>
          <w:lang w:val="en-GB"/>
        </w:rPr>
        <w:fldChar w:fldCharType="begin"/>
      </w:r>
      <w:r w:rsidR="003608AA">
        <w:rPr>
          <w:lang w:val="en-GB"/>
        </w:rPr>
        <w:instrText xml:space="preserve"> REF _Ref447150672 \h </w:instrText>
      </w:r>
      <w:r w:rsidR="003608AA">
        <w:rPr>
          <w:lang w:val="en-GB"/>
        </w:rPr>
      </w:r>
      <w:r w:rsidR="003608AA">
        <w:rPr>
          <w:lang w:val="en-GB"/>
        </w:rPr>
        <w:fldChar w:fldCharType="separate"/>
      </w:r>
      <w:r w:rsidR="003608AA">
        <w:t xml:space="preserve">Table </w:t>
      </w:r>
      <w:r w:rsidR="003608AA">
        <w:rPr>
          <w:noProof/>
        </w:rPr>
        <w:t>1</w:t>
      </w:r>
      <w:r w:rsidR="003608AA">
        <w:rPr>
          <w:lang w:val="en-GB"/>
        </w:rPr>
        <w:fldChar w:fldCharType="end"/>
      </w:r>
      <w:r w:rsidR="00C25FB0">
        <w:rPr>
          <w:lang w:val="en-GB"/>
        </w:rPr>
        <w:t xml:space="preserve">, and the frequency trends are emphasized in </w:t>
      </w:r>
      <w:r w:rsidR="00A249FB">
        <w:rPr>
          <w:lang w:val="en-GB"/>
        </w:rPr>
        <w:fldChar w:fldCharType="begin"/>
      </w:r>
      <w:r w:rsidR="00A249FB">
        <w:rPr>
          <w:lang w:val="en-GB"/>
        </w:rPr>
        <w:instrText xml:space="preserve"> REF _Ref447306959 \h </w:instrText>
      </w:r>
      <w:r w:rsidR="00A249FB">
        <w:rPr>
          <w:lang w:val="en-GB"/>
        </w:rPr>
      </w:r>
      <w:r w:rsidR="00A249FB">
        <w:rPr>
          <w:lang w:val="en-GB"/>
        </w:rPr>
        <w:fldChar w:fldCharType="separate"/>
      </w:r>
      <w:r w:rsidR="00A249FB">
        <w:t xml:space="preserve">Figure </w:t>
      </w:r>
      <w:r w:rsidR="00A249FB">
        <w:rPr>
          <w:noProof/>
        </w:rPr>
        <w:t>3</w:t>
      </w:r>
      <w:r w:rsidR="00A249FB">
        <w:rPr>
          <w:lang w:val="en-GB"/>
        </w:rPr>
        <w:fldChar w:fldCharType="end"/>
      </w:r>
      <w:r w:rsidR="00A249FB">
        <w:rPr>
          <w:lang w:val="en-GB"/>
        </w:rPr>
        <w:t xml:space="preserve">, which also includes a comparison to </w:t>
      </w:r>
      <w:r w:rsidR="00A249FB">
        <w:t xml:space="preserve">the model proposals from </w:t>
      </w:r>
      <w:r w:rsidR="00A249FB">
        <w:fldChar w:fldCharType="begin"/>
      </w:r>
      <w:r w:rsidR="00A249FB">
        <w:instrText xml:space="preserve"> REF _Ref447152039 \r \h </w:instrText>
      </w:r>
      <w:r w:rsidR="00A249FB">
        <w:fldChar w:fldCharType="separate"/>
      </w:r>
      <w:r w:rsidR="00A249FB">
        <w:t>[2]</w:t>
      </w:r>
      <w:r w:rsidR="00A249FB">
        <w:fldChar w:fldCharType="end"/>
      </w:r>
      <w:r w:rsidR="00A249FB">
        <w:t xml:space="preserve"> and </w:t>
      </w:r>
      <w:r w:rsidR="00A249FB">
        <w:fldChar w:fldCharType="begin"/>
      </w:r>
      <w:r w:rsidR="00A249FB">
        <w:instrText xml:space="preserve"> REF _Ref447152041 \r \h </w:instrText>
      </w:r>
      <w:r w:rsidR="00A249FB">
        <w:fldChar w:fldCharType="separate"/>
      </w:r>
      <w:r w:rsidR="00A249FB">
        <w:t>[3]</w:t>
      </w:r>
      <w:r w:rsidR="00A249FB">
        <w:fldChar w:fldCharType="end"/>
      </w:r>
      <w:r w:rsidR="00C25FB0">
        <w:rPr>
          <w:lang w:val="en-GB"/>
        </w:rPr>
        <w:t>.</w:t>
      </w:r>
    </w:p>
    <w:p w:rsidR="003608AA" w:rsidRDefault="003608AA" w:rsidP="009D701D">
      <w:pPr>
        <w:pStyle w:val="BodyText"/>
        <w:jc w:val="center"/>
        <w:rPr>
          <w:lang w:val="en-GB"/>
        </w:rPr>
      </w:pPr>
      <w:r w:rsidRPr="003608AA">
        <w:rPr>
          <w:noProof/>
        </w:rPr>
        <w:drawing>
          <wp:inline distT="0" distB="0" distL="0" distR="0" wp14:anchorId="5B24D163" wp14:editId="2E81A665">
            <wp:extent cx="5334000"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34000" cy="3990975"/>
                    </a:xfrm>
                    <a:prstGeom prst="rect">
                      <a:avLst/>
                    </a:prstGeom>
                  </pic:spPr>
                </pic:pic>
              </a:graphicData>
            </a:graphic>
          </wp:inline>
        </w:drawing>
      </w:r>
      <w:bookmarkStart w:id="4" w:name="_GoBack"/>
      <w:bookmarkEnd w:id="4"/>
    </w:p>
    <w:p w:rsidR="003608AA" w:rsidRDefault="003608AA" w:rsidP="003608AA">
      <w:pPr>
        <w:pStyle w:val="Caption"/>
      </w:pPr>
      <w:bookmarkStart w:id="5" w:name="_Ref447150662"/>
      <w:r>
        <w:t xml:space="preserve">Figure </w:t>
      </w:r>
      <w:r>
        <w:fldChar w:fldCharType="begin"/>
      </w:r>
      <w:r>
        <w:instrText xml:space="preserve"> SEQ Figure \* ARABIC </w:instrText>
      </w:r>
      <w:r>
        <w:fldChar w:fldCharType="separate"/>
      </w:r>
      <w:r w:rsidR="007171DF">
        <w:rPr>
          <w:noProof/>
        </w:rPr>
        <w:t>2</w:t>
      </w:r>
      <w:r>
        <w:fldChar w:fldCharType="end"/>
      </w:r>
      <w:bookmarkEnd w:id="5"/>
      <w:r>
        <w:t xml:space="preserve"> Delay spread CDFs</w:t>
      </w:r>
      <w:r w:rsidR="007171DF">
        <w:t xml:space="preserve"> (NLOS)</w:t>
      </w:r>
    </w:p>
    <w:p w:rsidR="00C25FB0" w:rsidRDefault="00C25FB0" w:rsidP="00C25FB0"/>
    <w:p w:rsidR="009D701D" w:rsidRDefault="009D701D" w:rsidP="00C25FB0"/>
    <w:p w:rsidR="009D701D" w:rsidRDefault="009D701D" w:rsidP="00C25FB0"/>
    <w:p w:rsidR="009D701D" w:rsidRPr="00C25FB0" w:rsidRDefault="009D701D" w:rsidP="00C25FB0"/>
    <w:p w:rsidR="003608AA" w:rsidRDefault="003608AA" w:rsidP="003608AA">
      <w:pPr>
        <w:pStyle w:val="Caption"/>
        <w:rPr>
          <w:lang w:val="en-GB"/>
        </w:rPr>
      </w:pPr>
      <w:bookmarkStart w:id="6" w:name="_Ref447150672"/>
      <w:r>
        <w:t xml:space="preserve">Table </w:t>
      </w:r>
      <w:r>
        <w:fldChar w:fldCharType="begin"/>
      </w:r>
      <w:r>
        <w:instrText xml:space="preserve"> SEQ Table \* ARABIC </w:instrText>
      </w:r>
      <w:r>
        <w:fldChar w:fldCharType="separate"/>
      </w:r>
      <w:r>
        <w:rPr>
          <w:noProof/>
        </w:rPr>
        <w:t>1</w:t>
      </w:r>
      <w:r>
        <w:fldChar w:fldCharType="end"/>
      </w:r>
      <w:bookmarkEnd w:id="6"/>
      <w:r>
        <w:t xml:space="preserve"> Delay spread parameters from the </w:t>
      </w:r>
      <w:r w:rsidR="007171DF">
        <w:t xml:space="preserve">NLOS </w:t>
      </w:r>
      <w:r>
        <w:t>measurements</w:t>
      </w:r>
    </w:p>
    <w:tbl>
      <w:tblPr>
        <w:tblW w:w="0" w:type="auto"/>
        <w:tblCellMar>
          <w:left w:w="0" w:type="dxa"/>
          <w:right w:w="0" w:type="dxa"/>
        </w:tblCellMar>
        <w:tblLook w:val="04A0" w:firstRow="1" w:lastRow="0" w:firstColumn="1" w:lastColumn="0" w:noHBand="0" w:noVBand="1"/>
      </w:tblPr>
      <w:tblGrid>
        <w:gridCol w:w="1771"/>
        <w:gridCol w:w="1771"/>
        <w:gridCol w:w="1771"/>
        <w:gridCol w:w="1771"/>
        <w:gridCol w:w="1772"/>
      </w:tblGrid>
      <w:tr w:rsidR="003608AA" w:rsidTr="003608AA">
        <w:tc>
          <w:tcPr>
            <w:tcW w:w="1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8AA" w:rsidRDefault="003608AA">
            <w:pPr>
              <w:rPr>
                <w:rFonts w:ascii="Calibri" w:eastAsia="SimSun" w:hAnsi="Calibri"/>
                <w:color w:val="1F497D"/>
                <w:sz w:val="22"/>
                <w:szCs w:val="22"/>
                <w:lang w:eastAsia="zh-CN"/>
              </w:rPr>
            </w:pP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2.44 GHz</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5.8 GHz</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14.8 GHz</w:t>
            </w:r>
          </w:p>
        </w:tc>
        <w:tc>
          <w:tcPr>
            <w:tcW w:w="1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58.7 GHz</w:t>
            </w:r>
          </w:p>
        </w:tc>
      </w:tr>
      <w:tr w:rsidR="003608AA" w:rsidTr="003608AA">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Median delay spread [ns]</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24</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28</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24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21</w:t>
            </w:r>
          </w:p>
        </w:tc>
      </w:tr>
      <w:tr w:rsidR="003608AA" w:rsidTr="003608AA">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i/>
                <w:iCs/>
                <w:color w:val="1F497D"/>
                <w:sz w:val="22"/>
                <w:szCs w:val="22"/>
                <w:lang w:eastAsia="zh-CN"/>
              </w:rPr>
            </w:pPr>
            <w:r>
              <w:rPr>
                <w:rFonts w:ascii="Symbol" w:hAnsi="Symbol"/>
                <w:i/>
                <w:iCs/>
                <w:color w:val="1F497D"/>
                <w:sz w:val="22"/>
                <w:szCs w:val="22"/>
              </w:rPr>
              <w:t></w:t>
            </w:r>
            <w:r>
              <w:rPr>
                <w:rFonts w:ascii="Calibri" w:hAnsi="Calibri"/>
                <w:i/>
                <w:iCs/>
                <w:color w:val="1F497D"/>
                <w:sz w:val="22"/>
                <w:szCs w:val="22"/>
                <w:vertAlign w:val="subscript"/>
              </w:rPr>
              <w:t>DS</w:t>
            </w:r>
            <w:r>
              <w:rPr>
                <w:rFonts w:ascii="Calibri" w:hAnsi="Calibri"/>
                <w:color w:val="1F497D"/>
                <w:sz w:val="22"/>
                <w:szCs w:val="22"/>
              </w:rPr>
              <w:t xml:space="preserve"> log10([s])</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-7.59</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-7.55</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-7.62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-7.64</w:t>
            </w:r>
          </w:p>
        </w:tc>
      </w:tr>
      <w:tr w:rsidR="003608AA" w:rsidTr="003608AA">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Symbol" w:hAnsi="Symbol"/>
                <w:i/>
                <w:iCs/>
                <w:color w:val="1F497D"/>
                <w:sz w:val="22"/>
                <w:szCs w:val="22"/>
              </w:rPr>
              <w:t></w:t>
            </w:r>
            <w:r>
              <w:rPr>
                <w:rFonts w:ascii="Calibri" w:hAnsi="Calibri"/>
                <w:i/>
                <w:iCs/>
                <w:color w:val="1F497D"/>
                <w:sz w:val="22"/>
                <w:szCs w:val="22"/>
                <w:vertAlign w:val="subscript"/>
              </w:rPr>
              <w:t>DS</w:t>
            </w:r>
            <w:r>
              <w:rPr>
                <w:rFonts w:ascii="Calibri" w:hAnsi="Calibri"/>
                <w:color w:val="1F497D"/>
                <w:sz w:val="22"/>
                <w:szCs w:val="22"/>
              </w:rPr>
              <w:t xml:space="preserve"> log10([s])</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0.25</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0.17</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0.20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3608AA" w:rsidRDefault="003608AA">
            <w:pPr>
              <w:rPr>
                <w:rFonts w:ascii="Calibri" w:eastAsia="SimSun" w:hAnsi="Calibri"/>
                <w:color w:val="1F497D"/>
                <w:sz w:val="22"/>
                <w:szCs w:val="22"/>
                <w:lang w:eastAsia="zh-CN"/>
              </w:rPr>
            </w:pPr>
            <w:r>
              <w:rPr>
                <w:rFonts w:ascii="Calibri" w:hAnsi="Calibri"/>
                <w:color w:val="1F497D"/>
                <w:sz w:val="22"/>
                <w:szCs w:val="22"/>
              </w:rPr>
              <w:t>0.30</w:t>
            </w:r>
          </w:p>
        </w:tc>
      </w:tr>
    </w:tbl>
    <w:p w:rsidR="00635F72" w:rsidRDefault="007171DF" w:rsidP="007171DF">
      <w:pPr>
        <w:pStyle w:val="BodyText"/>
        <w:tabs>
          <w:tab w:val="left" w:pos="6624"/>
        </w:tabs>
        <w:rPr>
          <w:lang w:val="en-GB"/>
        </w:rPr>
      </w:pPr>
      <w:r>
        <w:rPr>
          <w:lang w:val="en-GB"/>
        </w:rPr>
        <w:tab/>
      </w:r>
    </w:p>
    <w:p w:rsidR="007171DF" w:rsidRDefault="007171DF" w:rsidP="009D701D">
      <w:pPr>
        <w:pStyle w:val="BodyText"/>
        <w:tabs>
          <w:tab w:val="left" w:pos="6624"/>
        </w:tabs>
        <w:jc w:val="center"/>
        <w:rPr>
          <w:lang w:val="en-GB"/>
        </w:rPr>
      </w:pPr>
      <w:r w:rsidRPr="007171DF">
        <w:rPr>
          <w:noProof/>
        </w:rPr>
        <w:lastRenderedPageBreak/>
        <w:drawing>
          <wp:inline distT="0" distB="0" distL="0" distR="0" wp14:anchorId="3ED94BF4" wp14:editId="3143B29F">
            <wp:extent cx="4701397" cy="3526048"/>
            <wp:effectExtent l="0" t="0" r="4445"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703932" cy="3527950"/>
                    </a:xfrm>
                    <a:prstGeom prst="rect">
                      <a:avLst/>
                    </a:prstGeom>
                  </pic:spPr>
                </pic:pic>
              </a:graphicData>
            </a:graphic>
          </wp:inline>
        </w:drawing>
      </w:r>
    </w:p>
    <w:p w:rsidR="007171DF" w:rsidRDefault="007171DF" w:rsidP="007171DF">
      <w:pPr>
        <w:pStyle w:val="Caption"/>
        <w:rPr>
          <w:lang w:val="en-GB"/>
        </w:rPr>
      </w:pPr>
      <w:bookmarkStart w:id="7" w:name="_Ref447306959"/>
      <w:r>
        <w:t xml:space="preserve">Figure </w:t>
      </w:r>
      <w:r>
        <w:fldChar w:fldCharType="begin"/>
      </w:r>
      <w:r>
        <w:instrText xml:space="preserve"> SEQ Figure \* ARABIC </w:instrText>
      </w:r>
      <w:r>
        <w:fldChar w:fldCharType="separate"/>
      </w:r>
      <w:r>
        <w:rPr>
          <w:noProof/>
        </w:rPr>
        <w:t>3</w:t>
      </w:r>
      <w:r>
        <w:fldChar w:fldCharType="end"/>
      </w:r>
      <w:bookmarkEnd w:id="7"/>
      <w:r>
        <w:t xml:space="preserve"> Measured frequency dependence of the median NLOS delay spread. For comparison, the model proposals from </w:t>
      </w:r>
      <w:r w:rsidR="000442A1">
        <w:fldChar w:fldCharType="begin"/>
      </w:r>
      <w:r w:rsidR="000442A1">
        <w:instrText xml:space="preserve"> REF _Ref447152039 \r \h </w:instrText>
      </w:r>
      <w:r w:rsidR="000442A1">
        <w:fldChar w:fldCharType="separate"/>
      </w:r>
      <w:r w:rsidR="000442A1">
        <w:t>[2]</w:t>
      </w:r>
      <w:r w:rsidR="000442A1">
        <w:fldChar w:fldCharType="end"/>
      </w:r>
      <w:r w:rsidR="000442A1">
        <w:t xml:space="preserve"> and </w:t>
      </w:r>
      <w:r w:rsidR="000442A1">
        <w:fldChar w:fldCharType="begin"/>
      </w:r>
      <w:r w:rsidR="000442A1">
        <w:instrText xml:space="preserve"> REF _Ref447152041 \r \h </w:instrText>
      </w:r>
      <w:r w:rsidR="000442A1">
        <w:fldChar w:fldCharType="separate"/>
      </w:r>
      <w:r w:rsidR="000442A1">
        <w:t>[3]</w:t>
      </w:r>
      <w:r w:rsidR="000442A1">
        <w:fldChar w:fldCharType="end"/>
      </w:r>
      <w:r w:rsidR="000442A1">
        <w:t xml:space="preserve"> are also shown. </w:t>
      </w:r>
    </w:p>
    <w:p w:rsidR="00022E81" w:rsidRPr="00A249FB" w:rsidRDefault="00491BB9" w:rsidP="004A619D">
      <w:pPr>
        <w:pStyle w:val="Heading1"/>
        <w:rPr>
          <w:lang w:val="en-GB"/>
        </w:rPr>
      </w:pPr>
      <w:r w:rsidRPr="00A249FB">
        <w:rPr>
          <w:lang w:val="en-GB"/>
        </w:rPr>
        <w:t>Discussion</w:t>
      </w:r>
    </w:p>
    <w:p w:rsidR="00840415" w:rsidRDefault="00840415" w:rsidP="00840415">
      <w:pPr>
        <w:pStyle w:val="BodyText"/>
        <w:rPr>
          <w:lang w:val="en-GB"/>
        </w:rPr>
      </w:pPr>
      <w:r>
        <w:rPr>
          <w:lang w:val="en-GB"/>
        </w:rPr>
        <w:t xml:space="preserve">It is immediately evident that there is very little frequency dependence of the </w:t>
      </w:r>
      <w:proofErr w:type="spellStart"/>
      <w:r>
        <w:rPr>
          <w:lang w:val="en-GB"/>
        </w:rPr>
        <w:t>rms</w:t>
      </w:r>
      <w:proofErr w:type="spellEnd"/>
      <w:r>
        <w:rPr>
          <w:lang w:val="en-GB"/>
        </w:rPr>
        <w:t xml:space="preserve"> delay spread. Some smaller variations exist, such as the larger portion of high delay spreads at the very highest (58.7 GHz) and at the very lowest (2.4 GHz). Similarly, the median </w:t>
      </w:r>
      <w:proofErr w:type="spellStart"/>
      <w:r>
        <w:rPr>
          <w:lang w:val="en-GB"/>
        </w:rPr>
        <w:t>rms</w:t>
      </w:r>
      <w:proofErr w:type="spellEnd"/>
      <w:r>
        <w:rPr>
          <w:lang w:val="en-GB"/>
        </w:rPr>
        <w:t xml:space="preserve"> delay spread is slightly higher at the 5.8 GHz frequency. Neither of these variations </w:t>
      </w:r>
      <w:proofErr w:type="gramStart"/>
      <w:r>
        <w:rPr>
          <w:lang w:val="en-GB"/>
        </w:rPr>
        <w:t>are</w:t>
      </w:r>
      <w:proofErr w:type="gramEnd"/>
      <w:r>
        <w:rPr>
          <w:lang w:val="en-GB"/>
        </w:rPr>
        <w:t xml:space="preserve"> particularly significant and there is further no monotonic trend as a function of frequency. </w:t>
      </w:r>
    </w:p>
    <w:p w:rsidR="00840415" w:rsidRDefault="00840415" w:rsidP="00840415">
      <w:pPr>
        <w:pStyle w:val="BodyText"/>
        <w:rPr>
          <w:lang w:val="en-GB"/>
        </w:rPr>
      </w:pPr>
      <w:r>
        <w:rPr>
          <w:lang w:val="en-GB"/>
        </w:rPr>
        <w:t xml:space="preserve">The average power delay profiles in the Appendix are also remarkably similar across the wide frequency range. Closer inspection reveals that there are some smaller differences, as in some locations there are multi-path components (MPCs) are a large delay (600 ns) where the amplitude differ with frequency. However, these MPCs are not monotonically attenuating with higher frequencies, which would be expected if longer path trajectories undergo diffraction or transmission through a homogeneous material which are both known to be monotonically frequency dependent. Instead, a likely explanation is that these MPCs represent paths that escape the building through the windows, reflect off nearby buildings, and enter through the windows again. The delay difference also seems to match the distances to neighbouring buildings, and the window transmission in this building has been shown to be non-monotonic with frequency in previous measurements </w:t>
      </w:r>
      <w:r>
        <w:rPr>
          <w:lang w:val="en-GB"/>
        </w:rPr>
        <w:fldChar w:fldCharType="begin"/>
      </w:r>
      <w:r>
        <w:rPr>
          <w:lang w:val="en-GB"/>
        </w:rPr>
        <w:instrText xml:space="preserve"> REF _Ref446082286 \r \h </w:instrText>
      </w:r>
      <w:r>
        <w:rPr>
          <w:lang w:val="en-GB"/>
        </w:rPr>
      </w:r>
      <w:r>
        <w:rPr>
          <w:lang w:val="en-GB"/>
        </w:rPr>
        <w:fldChar w:fldCharType="separate"/>
      </w:r>
      <w:r>
        <w:rPr>
          <w:lang w:val="en-GB"/>
        </w:rPr>
        <w:t>[6]</w:t>
      </w:r>
      <w:r>
        <w:rPr>
          <w:lang w:val="en-GB"/>
        </w:rPr>
        <w:fldChar w:fldCharType="end"/>
      </w:r>
      <w:r>
        <w:rPr>
          <w:lang w:val="en-GB"/>
        </w:rPr>
        <w:t>. In any case, the impact of this delayed cluster can only be seen in the highest percentiles of the CDFs.</w:t>
      </w:r>
    </w:p>
    <w:p w:rsidR="00840415" w:rsidRPr="00840415" w:rsidRDefault="00840415" w:rsidP="00A249FB">
      <w:pPr>
        <w:pStyle w:val="BodyText"/>
        <w:rPr>
          <w:b/>
          <w:lang w:val="en-GB"/>
        </w:rPr>
      </w:pPr>
      <w:r w:rsidRPr="00840415">
        <w:rPr>
          <w:b/>
          <w:lang w:val="en-GB"/>
        </w:rPr>
        <w:t xml:space="preserve">Observation: The results from this comprehensive measurement campaign </w:t>
      </w:r>
      <w:r w:rsidRPr="00840415">
        <w:rPr>
          <w:b/>
          <w:lang w:val="en-GB"/>
        </w:rPr>
        <w:t>support</w:t>
      </w:r>
      <w:r w:rsidRPr="00840415">
        <w:rPr>
          <w:b/>
          <w:lang w:val="en-GB"/>
        </w:rPr>
        <w:t xml:space="preserve"> a frequency-independent delay spread model o</w:t>
      </w:r>
      <w:r w:rsidR="00F53776">
        <w:rPr>
          <w:b/>
          <w:lang w:val="en-GB"/>
        </w:rPr>
        <w:t>ver</w:t>
      </w:r>
      <w:r w:rsidRPr="00840415">
        <w:rPr>
          <w:b/>
          <w:lang w:val="en-GB"/>
        </w:rPr>
        <w:t xml:space="preserve"> the 2-70 GHz frequency range</w:t>
      </w:r>
    </w:p>
    <w:p w:rsidR="00FE5799" w:rsidRPr="00A249FB" w:rsidRDefault="00FE5799" w:rsidP="00FE5799">
      <w:pPr>
        <w:pStyle w:val="Heading1"/>
      </w:pPr>
      <w:r w:rsidRPr="00A249FB">
        <w:t>Conclusion</w:t>
      </w:r>
    </w:p>
    <w:p w:rsidR="00113299" w:rsidRPr="00A249FB" w:rsidRDefault="00792F9C" w:rsidP="00F062F2">
      <w:pPr>
        <w:pStyle w:val="BodyText"/>
      </w:pPr>
      <w:r w:rsidRPr="00A249FB">
        <w:t>The measurements in this contribution</w:t>
      </w:r>
      <w:r w:rsidR="00840415">
        <w:t xml:space="preserve"> have been performed with the utmost care in order to maintain comparability over a large frequency range by following the recommendations given in </w:t>
      </w:r>
      <w:r w:rsidR="00F53776">
        <w:fldChar w:fldCharType="begin"/>
      </w:r>
      <w:r w:rsidR="00F53776">
        <w:instrText xml:space="preserve"> REF _Ref447308776 \r \h </w:instrText>
      </w:r>
      <w:r w:rsidR="00F53776">
        <w:fldChar w:fldCharType="separate"/>
      </w:r>
      <w:r w:rsidR="00F53776">
        <w:t>[7]</w:t>
      </w:r>
      <w:r w:rsidR="00F53776">
        <w:fldChar w:fldCharType="end"/>
      </w:r>
      <w:r w:rsidR="002019C1">
        <w:t>. The results</w:t>
      </w:r>
      <w:r w:rsidR="00840415">
        <w:t xml:space="preserve"> show no evidence to support a frequency-dependent delay spread model. This supports the conclusions from other measurement campaigns performed with similar care such as </w:t>
      </w:r>
      <w:proofErr w:type="gramStart"/>
      <w:r w:rsidR="00840415">
        <w:t>a</w:t>
      </w:r>
      <w:proofErr w:type="gramEnd"/>
      <w:r w:rsidR="00840415">
        <w:t xml:space="preserve"> </w:t>
      </w:r>
      <w:proofErr w:type="spellStart"/>
      <w:r w:rsidR="00840415">
        <w:t>UMi</w:t>
      </w:r>
      <w:proofErr w:type="spellEnd"/>
      <w:r w:rsidR="00840415">
        <w:t xml:space="preserve"> measurement campaign </w:t>
      </w:r>
      <w:r w:rsidR="00840415">
        <w:fldChar w:fldCharType="begin"/>
      </w:r>
      <w:r w:rsidR="00840415">
        <w:instrText xml:space="preserve"> REF _Ref446082284 \r \h </w:instrText>
      </w:r>
      <w:r w:rsidR="00840415">
        <w:fldChar w:fldCharType="separate"/>
      </w:r>
      <w:r w:rsidR="00840415">
        <w:t>[5]</w:t>
      </w:r>
      <w:r w:rsidR="00840415">
        <w:fldChar w:fldCharType="end"/>
      </w:r>
      <w:r w:rsidR="00840415">
        <w:t xml:space="preserve"> and an </w:t>
      </w:r>
      <w:proofErr w:type="spellStart"/>
      <w:r w:rsidR="00840415">
        <w:t>InH</w:t>
      </w:r>
      <w:proofErr w:type="spellEnd"/>
      <w:r w:rsidR="00840415">
        <w:t xml:space="preserve"> high resolution directional measurement </w:t>
      </w:r>
      <w:r w:rsidR="00840415">
        <w:fldChar w:fldCharType="begin"/>
      </w:r>
      <w:r w:rsidR="00840415">
        <w:instrText xml:space="preserve"> REF _Ref447308485 \r \h </w:instrText>
      </w:r>
      <w:r w:rsidR="00840415">
        <w:fldChar w:fldCharType="separate"/>
      </w:r>
      <w:r w:rsidR="00840415">
        <w:t>[4]</w:t>
      </w:r>
      <w:r w:rsidR="00840415">
        <w:fldChar w:fldCharType="end"/>
      </w:r>
      <w:r w:rsidR="00840415">
        <w:t xml:space="preserve">, where neither indicated any significant frequency dependence. The burden of proof then lies with proponents of such a model to provide supporting measurement results where a similar high attention to the comparability is shown. </w:t>
      </w:r>
      <w:r w:rsidR="00F53776">
        <w:t xml:space="preserve">As part of such an undertaking it should be shown that the supporting measurements and post-processing are done according to the recommendations in </w:t>
      </w:r>
      <w:r w:rsidR="00F53776">
        <w:fldChar w:fldCharType="begin"/>
      </w:r>
      <w:r w:rsidR="00F53776">
        <w:instrText xml:space="preserve"> REF _Ref447308776 \r \h </w:instrText>
      </w:r>
      <w:r w:rsidR="00F53776">
        <w:fldChar w:fldCharType="separate"/>
      </w:r>
      <w:r w:rsidR="00F53776">
        <w:t>[7]</w:t>
      </w:r>
      <w:r w:rsidR="00F53776">
        <w:fldChar w:fldCharType="end"/>
      </w:r>
      <w:r w:rsidR="00F53776">
        <w:t>.</w:t>
      </w:r>
    </w:p>
    <w:p w:rsidR="00F53776" w:rsidRDefault="00792F9C" w:rsidP="00792F9C">
      <w:pPr>
        <w:pStyle w:val="BodyText"/>
        <w:rPr>
          <w:b/>
        </w:rPr>
      </w:pPr>
      <w:r w:rsidRPr="00A249FB">
        <w:rPr>
          <w:b/>
        </w:rPr>
        <w:t xml:space="preserve">Proposal: </w:t>
      </w:r>
      <w:r w:rsidR="00F53776">
        <w:rPr>
          <w:b/>
        </w:rPr>
        <w:t xml:space="preserve">Delay spread modeling in the </w:t>
      </w:r>
      <w:proofErr w:type="spellStart"/>
      <w:proofErr w:type="gramStart"/>
      <w:r w:rsidR="00F53776">
        <w:rPr>
          <w:b/>
        </w:rPr>
        <w:t>InH</w:t>
      </w:r>
      <w:proofErr w:type="spellEnd"/>
      <w:proofErr w:type="gramEnd"/>
      <w:r w:rsidR="00F53776">
        <w:rPr>
          <w:b/>
        </w:rPr>
        <w:t xml:space="preserve"> scenario should be frequency independent</w:t>
      </w:r>
    </w:p>
    <w:p w:rsidR="004A619D" w:rsidRPr="00510266" w:rsidRDefault="004A619D" w:rsidP="004A619D">
      <w:pPr>
        <w:pStyle w:val="Heading1"/>
      </w:pPr>
      <w:r w:rsidRPr="00510266">
        <w:lastRenderedPageBreak/>
        <w:t>References</w:t>
      </w:r>
    </w:p>
    <w:p w:rsidR="00695FF4" w:rsidRPr="000442A1" w:rsidRDefault="00113299" w:rsidP="00695FF4">
      <w:pPr>
        <w:numPr>
          <w:ilvl w:val="0"/>
          <w:numId w:val="2"/>
        </w:numPr>
        <w:jc w:val="both"/>
        <w:rPr>
          <w:szCs w:val="20"/>
          <w:lang w:val="it-IT"/>
        </w:rPr>
      </w:pPr>
      <w:bookmarkStart w:id="8" w:name="_Ref446057119"/>
      <w:bookmarkStart w:id="9" w:name="_Ref447149981"/>
      <w:r>
        <w:t xml:space="preserve">3GPP </w:t>
      </w:r>
      <w:r w:rsidR="00695FF4">
        <w:t>R1-161694, “</w:t>
      </w:r>
      <w:r w:rsidR="00695FF4" w:rsidRPr="00695FF4">
        <w:t>Modelling of atmospheric loss</w:t>
      </w:r>
      <w:r w:rsidR="00695FF4">
        <w:t xml:space="preserve">”, </w:t>
      </w:r>
      <w:r w:rsidR="00695FF4" w:rsidRPr="00695FF4">
        <w:t xml:space="preserve">Ericsson, Nokia Networks, AT&amp;T, CMCC, ETRI, Huawei, </w:t>
      </w:r>
      <w:proofErr w:type="spellStart"/>
      <w:r w:rsidR="00695FF4" w:rsidRPr="00695FF4">
        <w:t>HiSilicon</w:t>
      </w:r>
      <w:proofErr w:type="spellEnd"/>
      <w:r w:rsidR="00695FF4" w:rsidRPr="00695FF4">
        <w:t>, Intel, KT Corporation, NTT DOCOMO, Qualcomm, Samsung</w:t>
      </w:r>
      <w:bookmarkEnd w:id="8"/>
      <w:r>
        <w:t>, March 2016.</w:t>
      </w:r>
      <w:bookmarkEnd w:id="9"/>
    </w:p>
    <w:p w:rsidR="000442A1" w:rsidRDefault="000442A1" w:rsidP="000442A1">
      <w:pPr>
        <w:numPr>
          <w:ilvl w:val="0"/>
          <w:numId w:val="2"/>
        </w:numPr>
        <w:jc w:val="both"/>
        <w:rPr>
          <w:szCs w:val="20"/>
          <w:lang w:val="it-IT"/>
        </w:rPr>
      </w:pPr>
      <w:bookmarkStart w:id="10" w:name="_Ref447152039"/>
      <w:r w:rsidRPr="000442A1">
        <w:rPr>
          <w:szCs w:val="20"/>
          <w:lang w:val="it-IT"/>
        </w:rPr>
        <w:t>Aalto University, AT&amp;T, BUPT, CMCC, Ericsson, Huawei, Intel, KT Corporation, Nokia, NTT DOCOMO, New York University, Qualcomm, Samsung, University of Bristol, University of Southern California, “5G Channel Model for bands up to 100 GHz (v2.0)”, Mar. 2016 (</w:t>
      </w:r>
      <w:hyperlink r:id="rId12" w:history="1">
        <w:r w:rsidRPr="005B25DF">
          <w:rPr>
            <w:rStyle w:val="Hyperlink"/>
            <w:szCs w:val="20"/>
            <w:lang w:val="it-IT"/>
          </w:rPr>
          <w:t>http://www.5gworkshops.com/5GCM.html</w:t>
        </w:r>
      </w:hyperlink>
      <w:r w:rsidRPr="000442A1">
        <w:rPr>
          <w:szCs w:val="20"/>
          <w:lang w:val="it-IT"/>
        </w:rPr>
        <w:t>).</w:t>
      </w:r>
      <w:bookmarkEnd w:id="10"/>
    </w:p>
    <w:p w:rsidR="000442A1" w:rsidRPr="0072379A" w:rsidRDefault="000442A1" w:rsidP="000442A1">
      <w:pPr>
        <w:numPr>
          <w:ilvl w:val="0"/>
          <w:numId w:val="2"/>
        </w:numPr>
        <w:jc w:val="both"/>
        <w:rPr>
          <w:szCs w:val="20"/>
          <w:lang w:val="it-IT"/>
        </w:rPr>
      </w:pPr>
      <w:bookmarkStart w:id="11" w:name="_Ref447152041"/>
      <w:r>
        <w:rPr>
          <w:szCs w:val="20"/>
          <w:lang w:val="it-IT"/>
        </w:rPr>
        <w:t>3GPP R1-161608, “</w:t>
      </w:r>
      <w:r w:rsidRPr="000442A1">
        <w:rPr>
          <w:szCs w:val="20"/>
          <w:lang w:val="it-IT"/>
        </w:rPr>
        <w:t>Frequency dependency for large scale parameters</w:t>
      </w:r>
      <w:r>
        <w:rPr>
          <w:szCs w:val="20"/>
          <w:lang w:val="it-IT"/>
        </w:rPr>
        <w:t>”, Huawei, HiSilicon, Mar. 2016.</w:t>
      </w:r>
      <w:bookmarkEnd w:id="11"/>
    </w:p>
    <w:p w:rsidR="0072379A" w:rsidRDefault="0072379A" w:rsidP="0072379A">
      <w:pPr>
        <w:numPr>
          <w:ilvl w:val="0"/>
          <w:numId w:val="2"/>
        </w:numPr>
        <w:jc w:val="both"/>
        <w:rPr>
          <w:szCs w:val="20"/>
          <w:lang w:val="it-IT"/>
        </w:rPr>
      </w:pPr>
      <w:bookmarkStart w:id="12" w:name="_Ref446056712"/>
      <w:bookmarkStart w:id="13" w:name="_Ref447308485"/>
      <w:r>
        <w:rPr>
          <w:szCs w:val="20"/>
          <w:lang w:val="it-IT"/>
        </w:rPr>
        <w:t>J. Medbo, N. Seifi and H. Asplund, “</w:t>
      </w:r>
      <w:r w:rsidRPr="0072379A">
        <w:rPr>
          <w:szCs w:val="20"/>
          <w:lang w:val="it-IT"/>
        </w:rPr>
        <w:t>Frequency Dependency of Measured Highly Resolved Directional Propagation Channel Characteristics</w:t>
      </w:r>
      <w:r>
        <w:rPr>
          <w:szCs w:val="20"/>
          <w:lang w:val="it-IT"/>
        </w:rPr>
        <w:t xml:space="preserve">”, to </w:t>
      </w:r>
      <w:r w:rsidR="00491BB9">
        <w:rPr>
          <w:szCs w:val="20"/>
          <w:lang w:val="it-IT"/>
        </w:rPr>
        <w:t>appear</w:t>
      </w:r>
      <w:r>
        <w:rPr>
          <w:szCs w:val="20"/>
          <w:lang w:val="it-IT"/>
        </w:rPr>
        <w:t xml:space="preserve"> in </w:t>
      </w:r>
      <w:r w:rsidRPr="0072379A">
        <w:rPr>
          <w:i/>
          <w:szCs w:val="20"/>
          <w:lang w:val="it-IT"/>
        </w:rPr>
        <w:t>European Wireless conference 2016 (EW2016)</w:t>
      </w:r>
      <w:r>
        <w:rPr>
          <w:szCs w:val="20"/>
          <w:lang w:val="it-IT"/>
        </w:rPr>
        <w:t>, Oulo, Finland, 18-20 May 2016.</w:t>
      </w:r>
      <w:bookmarkEnd w:id="12"/>
      <w:r>
        <w:rPr>
          <w:szCs w:val="20"/>
          <w:lang w:val="it-IT"/>
        </w:rPr>
        <w:t xml:space="preserve"> </w:t>
      </w:r>
      <w:r w:rsidR="00A84DD1">
        <w:rPr>
          <w:szCs w:val="20"/>
          <w:lang w:val="it-IT"/>
        </w:rPr>
        <w:t>[online:]</w:t>
      </w:r>
      <w:bookmarkEnd w:id="13"/>
    </w:p>
    <w:p w:rsidR="00A84DD1" w:rsidRDefault="00A84DD1" w:rsidP="0072379A">
      <w:pPr>
        <w:numPr>
          <w:ilvl w:val="0"/>
          <w:numId w:val="2"/>
        </w:numPr>
        <w:jc w:val="both"/>
        <w:rPr>
          <w:szCs w:val="20"/>
          <w:lang w:val="it-IT"/>
        </w:rPr>
      </w:pPr>
      <w:bookmarkStart w:id="14" w:name="_Ref446082284"/>
      <w:r>
        <w:rPr>
          <w:szCs w:val="20"/>
          <w:lang w:val="it-IT"/>
        </w:rPr>
        <w:t>3GPP R1-161691 “Microcell measurements”, Ericsson, March 2016.</w:t>
      </w:r>
      <w:bookmarkEnd w:id="14"/>
    </w:p>
    <w:p w:rsidR="00B66CA0" w:rsidRPr="002019C1" w:rsidRDefault="00A84DD1" w:rsidP="002019C1">
      <w:pPr>
        <w:numPr>
          <w:ilvl w:val="0"/>
          <w:numId w:val="2"/>
        </w:numPr>
        <w:jc w:val="both"/>
        <w:rPr>
          <w:szCs w:val="20"/>
          <w:lang w:val="it-IT"/>
        </w:rPr>
      </w:pPr>
      <w:bookmarkStart w:id="15" w:name="_Ref446082286"/>
      <w:r>
        <w:rPr>
          <w:szCs w:val="20"/>
          <w:lang w:val="it-IT"/>
        </w:rPr>
        <w:t>3GPP R1-161688, “</w:t>
      </w:r>
      <w:r w:rsidRPr="00A84DD1">
        <w:rPr>
          <w:szCs w:val="20"/>
          <w:lang w:val="it-IT"/>
        </w:rPr>
        <w:t>Measurements of path and penetration losses at multiple carrier frequencies</w:t>
      </w:r>
      <w:r>
        <w:rPr>
          <w:szCs w:val="20"/>
          <w:lang w:val="it-IT"/>
        </w:rPr>
        <w:t>”, Ericsson, March 2016.</w:t>
      </w:r>
      <w:bookmarkEnd w:id="15"/>
    </w:p>
    <w:p w:rsidR="002019C1" w:rsidRPr="002019C1" w:rsidRDefault="002019C1" w:rsidP="002019C1">
      <w:pPr>
        <w:numPr>
          <w:ilvl w:val="0"/>
          <w:numId w:val="2"/>
        </w:numPr>
        <w:jc w:val="both"/>
        <w:rPr>
          <w:szCs w:val="20"/>
          <w:lang w:val="it-IT"/>
        </w:rPr>
      </w:pPr>
      <w:bookmarkStart w:id="16" w:name="_Ref447308776"/>
      <w:r>
        <w:rPr>
          <w:szCs w:val="20"/>
          <w:lang w:val="it-IT"/>
        </w:rPr>
        <w:t xml:space="preserve">3GPP </w:t>
      </w:r>
      <w:r w:rsidRPr="002019C1">
        <w:rPr>
          <w:szCs w:val="20"/>
          <w:lang w:val="it-IT"/>
        </w:rPr>
        <w:t>R1-163257</w:t>
      </w:r>
      <w:r>
        <w:rPr>
          <w:szCs w:val="20"/>
          <w:lang w:val="it-IT"/>
        </w:rPr>
        <w:t>,</w:t>
      </w:r>
      <w:r w:rsidRPr="002019C1">
        <w:rPr>
          <w:szCs w:val="20"/>
          <w:lang w:val="it-IT"/>
        </w:rPr>
        <w:t xml:space="preserve"> </w:t>
      </w:r>
      <w:r>
        <w:rPr>
          <w:szCs w:val="20"/>
          <w:lang w:val="it-IT"/>
        </w:rPr>
        <w:t>“</w:t>
      </w:r>
      <w:r w:rsidRPr="002019C1">
        <w:rPr>
          <w:szCs w:val="20"/>
          <w:lang w:val="it-IT"/>
        </w:rPr>
        <w:t>Requirements for Comparability of Radio Channel Measurements</w:t>
      </w:r>
      <w:r>
        <w:rPr>
          <w:szCs w:val="20"/>
          <w:lang w:val="it-IT"/>
        </w:rPr>
        <w:t>”, Ericsson, April 2016.</w:t>
      </w:r>
      <w:bookmarkEnd w:id="16"/>
    </w:p>
    <w:p w:rsidR="00B66CA0" w:rsidRDefault="00B66CA0" w:rsidP="00B66CA0">
      <w:pPr>
        <w:pStyle w:val="Heading1"/>
        <w:sectPr w:rsidR="00B66CA0">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pPr>
    </w:p>
    <w:p w:rsidR="00F062F2" w:rsidRDefault="00B66CA0" w:rsidP="00B66CA0">
      <w:pPr>
        <w:pStyle w:val="Heading1"/>
      </w:pPr>
      <w:r>
        <w:lastRenderedPageBreak/>
        <w:t>Appendix</w:t>
      </w:r>
    </w:p>
    <w:p w:rsidR="003925FF" w:rsidRPr="003925FF" w:rsidRDefault="003925FF" w:rsidP="003925FF">
      <w:pPr>
        <w:pStyle w:val="BodyText"/>
      </w:pPr>
      <w:r>
        <w:t xml:space="preserve">The following figures show the spatially averaged power delay profiles in each of the 15 measurement positions. The relative power levels have not been calibrated. Also, the delay axis contains an offset compared to the propagation delay over the air. </w:t>
      </w:r>
    </w:p>
    <w:p w:rsidR="00C25FB0" w:rsidRDefault="00C25FB0" w:rsidP="00C25FB0">
      <w:pPr>
        <w:pStyle w:val="BodyText"/>
        <w:rPr>
          <w:noProof/>
        </w:rPr>
      </w:pPr>
      <w:r w:rsidRPr="00C25FB0">
        <w:rPr>
          <w:noProof/>
        </w:rPr>
        <w:drawing>
          <wp:inline distT="0" distB="0" distL="0" distR="0" wp14:anchorId="14554DCC" wp14:editId="27963F30">
            <wp:extent cx="2667600" cy="2001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47F27C1C" wp14:editId="3C902520">
            <wp:extent cx="2667600" cy="2001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667600" cy="2001600"/>
                    </a:xfrm>
                    <a:prstGeom prst="rect">
                      <a:avLst/>
                    </a:prstGeom>
                  </pic:spPr>
                </pic:pic>
              </a:graphicData>
            </a:graphic>
          </wp:inline>
        </w:drawing>
      </w:r>
    </w:p>
    <w:p w:rsidR="00C25FB0" w:rsidRDefault="00C25FB0" w:rsidP="00C25FB0">
      <w:pPr>
        <w:pStyle w:val="BodyText"/>
        <w:rPr>
          <w:noProof/>
        </w:rPr>
      </w:pPr>
      <w:r w:rsidRPr="00C25FB0">
        <w:rPr>
          <w:noProof/>
        </w:rPr>
        <w:drawing>
          <wp:inline distT="0" distB="0" distL="0" distR="0" wp14:anchorId="5D746339" wp14:editId="550F5C98">
            <wp:extent cx="2667600" cy="20016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73FF2728" wp14:editId="1E8E2E4E">
            <wp:extent cx="2667600" cy="20016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667600" cy="2001600"/>
                    </a:xfrm>
                    <a:prstGeom prst="rect">
                      <a:avLst/>
                    </a:prstGeom>
                  </pic:spPr>
                </pic:pic>
              </a:graphicData>
            </a:graphic>
          </wp:inline>
        </w:drawing>
      </w:r>
    </w:p>
    <w:p w:rsidR="00C25FB0" w:rsidRDefault="00C25FB0" w:rsidP="00C25FB0">
      <w:pPr>
        <w:pStyle w:val="BodyText"/>
        <w:rPr>
          <w:noProof/>
        </w:rPr>
      </w:pPr>
      <w:r w:rsidRPr="00C25FB0">
        <w:rPr>
          <w:noProof/>
        </w:rPr>
        <w:drawing>
          <wp:inline distT="0" distB="0" distL="0" distR="0" wp14:anchorId="0F0256B2" wp14:editId="67C49958">
            <wp:extent cx="2667600" cy="20016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01C6EE59" wp14:editId="47B27C36">
            <wp:extent cx="2667600" cy="20016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667600" cy="2001600"/>
                    </a:xfrm>
                    <a:prstGeom prst="rect">
                      <a:avLst/>
                    </a:prstGeom>
                  </pic:spPr>
                </pic:pic>
              </a:graphicData>
            </a:graphic>
          </wp:inline>
        </w:drawing>
      </w:r>
    </w:p>
    <w:p w:rsidR="00C25FB0" w:rsidRDefault="00C25FB0" w:rsidP="00C25FB0">
      <w:pPr>
        <w:pStyle w:val="BodyText"/>
        <w:rPr>
          <w:noProof/>
        </w:rPr>
      </w:pPr>
      <w:r w:rsidRPr="00C25FB0">
        <w:rPr>
          <w:noProof/>
        </w:rPr>
        <w:drawing>
          <wp:inline distT="0" distB="0" distL="0" distR="0" wp14:anchorId="44238A6A" wp14:editId="2281EE62">
            <wp:extent cx="2667600" cy="20016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66E78D31" wp14:editId="5C208144">
            <wp:extent cx="2667600" cy="20016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667600" cy="2001600"/>
                    </a:xfrm>
                    <a:prstGeom prst="rect">
                      <a:avLst/>
                    </a:prstGeom>
                  </pic:spPr>
                </pic:pic>
              </a:graphicData>
            </a:graphic>
          </wp:inline>
        </w:drawing>
      </w:r>
    </w:p>
    <w:p w:rsidR="00C25FB0" w:rsidRDefault="00C25FB0" w:rsidP="00C25FB0">
      <w:pPr>
        <w:pStyle w:val="BodyText"/>
        <w:rPr>
          <w:noProof/>
        </w:rPr>
      </w:pPr>
      <w:r w:rsidRPr="00C25FB0">
        <w:rPr>
          <w:noProof/>
        </w:rPr>
        <w:lastRenderedPageBreak/>
        <w:drawing>
          <wp:inline distT="0" distB="0" distL="0" distR="0" wp14:anchorId="39F16C07" wp14:editId="7DCA0CA6">
            <wp:extent cx="2667600" cy="20016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513BD5B2" wp14:editId="7F81F6DC">
            <wp:extent cx="2667600" cy="20016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667600" cy="2001600"/>
                    </a:xfrm>
                    <a:prstGeom prst="rect">
                      <a:avLst/>
                    </a:prstGeom>
                  </pic:spPr>
                </pic:pic>
              </a:graphicData>
            </a:graphic>
          </wp:inline>
        </w:drawing>
      </w:r>
    </w:p>
    <w:p w:rsidR="00C25FB0" w:rsidRDefault="00C25FB0" w:rsidP="00C25FB0">
      <w:pPr>
        <w:pStyle w:val="BodyText"/>
        <w:rPr>
          <w:noProof/>
        </w:rPr>
      </w:pPr>
      <w:r w:rsidRPr="00C25FB0">
        <w:rPr>
          <w:noProof/>
        </w:rPr>
        <w:drawing>
          <wp:inline distT="0" distB="0" distL="0" distR="0" wp14:anchorId="033A168E" wp14:editId="667FE774">
            <wp:extent cx="2667600" cy="20016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1ECF5D7B" wp14:editId="14420C0E">
            <wp:extent cx="2667600" cy="20016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2667600" cy="2001600"/>
                    </a:xfrm>
                    <a:prstGeom prst="rect">
                      <a:avLst/>
                    </a:prstGeom>
                  </pic:spPr>
                </pic:pic>
              </a:graphicData>
            </a:graphic>
          </wp:inline>
        </w:drawing>
      </w:r>
    </w:p>
    <w:p w:rsidR="00C25FB0" w:rsidRDefault="00C25FB0" w:rsidP="00C25FB0">
      <w:pPr>
        <w:pStyle w:val="BodyText"/>
        <w:rPr>
          <w:noProof/>
        </w:rPr>
      </w:pPr>
      <w:r w:rsidRPr="00C25FB0">
        <w:rPr>
          <w:noProof/>
        </w:rPr>
        <w:drawing>
          <wp:inline distT="0" distB="0" distL="0" distR="0" wp14:anchorId="5F341D28" wp14:editId="6D4F81E3">
            <wp:extent cx="2667600" cy="20016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2667600" cy="2001600"/>
                    </a:xfrm>
                    <a:prstGeom prst="rect">
                      <a:avLst/>
                    </a:prstGeom>
                  </pic:spPr>
                </pic:pic>
              </a:graphicData>
            </a:graphic>
          </wp:inline>
        </w:drawing>
      </w:r>
      <w:r w:rsidRPr="00C25FB0">
        <w:rPr>
          <w:noProof/>
        </w:rPr>
        <w:t xml:space="preserve"> </w:t>
      </w:r>
      <w:r w:rsidRPr="00C25FB0">
        <w:rPr>
          <w:noProof/>
        </w:rPr>
        <w:drawing>
          <wp:inline distT="0" distB="0" distL="0" distR="0" wp14:anchorId="4E5D2466" wp14:editId="664A4B59">
            <wp:extent cx="2667600" cy="20016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2667600" cy="2001600"/>
                    </a:xfrm>
                    <a:prstGeom prst="rect">
                      <a:avLst/>
                    </a:prstGeom>
                  </pic:spPr>
                </pic:pic>
              </a:graphicData>
            </a:graphic>
          </wp:inline>
        </w:drawing>
      </w:r>
    </w:p>
    <w:p w:rsidR="00C25FB0" w:rsidRPr="00C25FB0" w:rsidRDefault="00C25FB0" w:rsidP="00C25FB0">
      <w:pPr>
        <w:pStyle w:val="BodyText"/>
      </w:pPr>
      <w:r w:rsidRPr="00C25FB0">
        <w:rPr>
          <w:noProof/>
        </w:rPr>
        <w:drawing>
          <wp:inline distT="0" distB="0" distL="0" distR="0" wp14:anchorId="57A6EE77" wp14:editId="3A172C57">
            <wp:extent cx="2667600" cy="20016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2667600" cy="2001600"/>
                    </a:xfrm>
                    <a:prstGeom prst="rect">
                      <a:avLst/>
                    </a:prstGeom>
                  </pic:spPr>
                </pic:pic>
              </a:graphicData>
            </a:graphic>
          </wp:inline>
        </w:drawing>
      </w:r>
    </w:p>
    <w:sectPr w:rsidR="00C25FB0" w:rsidRPr="00C25FB0" w:rsidSect="00635F72">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333" w:rsidRDefault="00DB0333">
      <w:r>
        <w:separator/>
      </w:r>
    </w:p>
  </w:endnote>
  <w:endnote w:type="continuationSeparator" w:id="0">
    <w:p w:rsidR="00DB0333" w:rsidRDefault="00DB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333" w:rsidRDefault="00DB0333">
      <w:r>
        <w:separator/>
      </w:r>
    </w:p>
  </w:footnote>
  <w:footnote w:type="continuationSeparator" w:id="0">
    <w:p w:rsidR="00DB0333" w:rsidRDefault="00DB0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DB0333"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A6D01158"/>
    <w:lvl w:ilvl="0">
      <w:start w:val="1"/>
      <w:numFmt w:val="decimal"/>
      <w:pStyle w:val="Heading1"/>
      <w:lvlText w:val="%1."/>
      <w:lvlJc w:val="left"/>
      <w:pPr>
        <w:tabs>
          <w:tab w:val="num" w:pos="567"/>
        </w:tabs>
        <w:ind w:left="567" w:hanging="567"/>
      </w:pPr>
      <w:rPr>
        <w:rFonts w:hint="default"/>
        <w:u w:val="none"/>
        <w:lang w:val="it-IT"/>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E81"/>
    <w:rsid w:val="000318DB"/>
    <w:rsid w:val="000442A1"/>
    <w:rsid w:val="00113299"/>
    <w:rsid w:val="001639B5"/>
    <w:rsid w:val="00183BA2"/>
    <w:rsid w:val="00185B5D"/>
    <w:rsid w:val="001B6B68"/>
    <w:rsid w:val="001B7BA4"/>
    <w:rsid w:val="001D0503"/>
    <w:rsid w:val="001E2D3C"/>
    <w:rsid w:val="002019C1"/>
    <w:rsid w:val="0026076E"/>
    <w:rsid w:val="00262AB8"/>
    <w:rsid w:val="003608AA"/>
    <w:rsid w:val="003925FF"/>
    <w:rsid w:val="003D5908"/>
    <w:rsid w:val="003F77D0"/>
    <w:rsid w:val="00416197"/>
    <w:rsid w:val="00481DE8"/>
    <w:rsid w:val="00491BB9"/>
    <w:rsid w:val="004A3F44"/>
    <w:rsid w:val="004A619D"/>
    <w:rsid w:val="004E0AB2"/>
    <w:rsid w:val="005040AE"/>
    <w:rsid w:val="005C1A27"/>
    <w:rsid w:val="005F758E"/>
    <w:rsid w:val="00631688"/>
    <w:rsid w:val="00635F72"/>
    <w:rsid w:val="006466DE"/>
    <w:rsid w:val="00646918"/>
    <w:rsid w:val="00695FF4"/>
    <w:rsid w:val="006A286A"/>
    <w:rsid w:val="006C7A1E"/>
    <w:rsid w:val="007171DF"/>
    <w:rsid w:val="0072379A"/>
    <w:rsid w:val="007448CA"/>
    <w:rsid w:val="00791C6A"/>
    <w:rsid w:val="00792F9C"/>
    <w:rsid w:val="007B3530"/>
    <w:rsid w:val="00840415"/>
    <w:rsid w:val="00872E9C"/>
    <w:rsid w:val="00983A13"/>
    <w:rsid w:val="009D701D"/>
    <w:rsid w:val="00A120E1"/>
    <w:rsid w:val="00A249FB"/>
    <w:rsid w:val="00A55C73"/>
    <w:rsid w:val="00A84DD1"/>
    <w:rsid w:val="00A93775"/>
    <w:rsid w:val="00AF76AD"/>
    <w:rsid w:val="00B2733A"/>
    <w:rsid w:val="00B368D9"/>
    <w:rsid w:val="00B66CA0"/>
    <w:rsid w:val="00C1560A"/>
    <w:rsid w:val="00C25FB0"/>
    <w:rsid w:val="00C46A41"/>
    <w:rsid w:val="00C82C6E"/>
    <w:rsid w:val="00CF0B1C"/>
    <w:rsid w:val="00DB0333"/>
    <w:rsid w:val="00E16058"/>
    <w:rsid w:val="00E232CF"/>
    <w:rsid w:val="00E747B0"/>
    <w:rsid w:val="00F002CD"/>
    <w:rsid w:val="00F062F2"/>
    <w:rsid w:val="00F127D5"/>
    <w:rsid w:val="00F307F4"/>
    <w:rsid w:val="00F53776"/>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0442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0442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114449829">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5gworkshops.com/5GCM.html" TargetMode="External"/><Relationship Id="rId17" Type="http://schemas.openxmlformats.org/officeDocument/2006/relationships/header" Target="header3.xml"/><Relationship Id="rId25" Type="http://schemas.openxmlformats.org/officeDocument/2006/relationships/image" Target="media/image10.png"/><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6C5E1-CA47-45BA-9398-1DF2B991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1284</Words>
  <Characters>6824</Characters>
  <Application>Microsoft Office Word</Application>
  <DocSecurity>0</DocSecurity>
  <Lines>341</Lines>
  <Paragraphs>261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12</cp:revision>
  <dcterms:created xsi:type="dcterms:W3CDTF">2016-03-30T23:18:00Z</dcterms:created>
  <dcterms:modified xsi:type="dcterms:W3CDTF">2016-04-01T19:23:00Z</dcterms:modified>
</cp:coreProperties>
</file>